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1C39E1">
        <w:rPr>
          <w:rFonts w:ascii="Arial" w:hAnsi="Arial" w:cs="Arial"/>
          <w:b/>
          <w:lang w:val="es-ES_tradnl"/>
        </w:rPr>
        <w:t xml:space="preserve">Licitaciones Públicas Internacionales </w:t>
      </w:r>
      <w:r w:rsidR="00240EDA" w:rsidRPr="001C39E1">
        <w:rPr>
          <w:rFonts w:ascii="Arial" w:hAnsi="Arial" w:cs="Arial"/>
          <w:b/>
          <w:lang w:val="es-ES_tradnl"/>
        </w:rPr>
        <w:t xml:space="preserve">al </w:t>
      </w:r>
      <w:r w:rsidR="008357CB">
        <w:rPr>
          <w:rFonts w:ascii="Arial" w:hAnsi="Arial" w:cs="Arial"/>
          <w:b/>
          <w:lang w:val="es-ES_tradnl"/>
        </w:rPr>
        <w:t xml:space="preserve">jueves </w:t>
      </w:r>
      <w:r w:rsidR="00E004FA">
        <w:rPr>
          <w:rFonts w:ascii="Arial" w:hAnsi="Arial" w:cs="Arial"/>
          <w:b/>
          <w:lang w:val="es-ES_tradnl"/>
        </w:rPr>
        <w:t>19</w:t>
      </w:r>
      <w:r w:rsidR="008357CB">
        <w:rPr>
          <w:rFonts w:ascii="Arial" w:hAnsi="Arial" w:cs="Arial"/>
          <w:b/>
          <w:lang w:val="es-ES_tradnl"/>
        </w:rPr>
        <w:t xml:space="preserve"> de </w:t>
      </w:r>
      <w:r w:rsidR="004E102D">
        <w:rPr>
          <w:rFonts w:ascii="Arial" w:hAnsi="Arial" w:cs="Arial"/>
          <w:b/>
          <w:lang w:val="es-ES_tradnl"/>
        </w:rPr>
        <w:t>junio</w:t>
      </w:r>
      <w:r w:rsidR="00DA325C" w:rsidRPr="001C39E1">
        <w:rPr>
          <w:rFonts w:ascii="Arial" w:hAnsi="Arial" w:cs="Arial"/>
          <w:b/>
          <w:lang w:val="es-ES_tradnl"/>
        </w:rPr>
        <w:t xml:space="preserve"> </w:t>
      </w:r>
      <w:r w:rsidR="00240EDA" w:rsidRPr="001C39E1">
        <w:rPr>
          <w:rFonts w:ascii="Arial" w:hAnsi="Arial" w:cs="Arial"/>
          <w:b/>
          <w:lang w:val="es-ES_tradnl"/>
        </w:rPr>
        <w:t xml:space="preserve">de </w:t>
      </w:r>
      <w:r w:rsidR="00DA325C" w:rsidRPr="001C39E1">
        <w:rPr>
          <w:rFonts w:ascii="Arial" w:hAnsi="Arial" w:cs="Arial"/>
          <w:b/>
          <w:lang w:val="es-ES_tradnl"/>
        </w:rPr>
        <w:t>2014</w:t>
      </w:r>
    </w:p>
    <w:p w:rsidR="008F6379" w:rsidRPr="001C39E1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"/>
        <w:gridCol w:w="19"/>
        <w:gridCol w:w="119"/>
        <w:gridCol w:w="7244"/>
        <w:gridCol w:w="15"/>
        <w:gridCol w:w="1359"/>
        <w:gridCol w:w="45"/>
        <w:gridCol w:w="19"/>
        <w:gridCol w:w="972"/>
      </w:tblGrid>
      <w:tr w:rsidR="008F6379" w:rsidRPr="001C39E1" w:rsidTr="00442C96">
        <w:trPr>
          <w:trHeight w:val="413"/>
        </w:trPr>
        <w:tc>
          <w:tcPr>
            <w:tcW w:w="4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66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1C39E1" w:rsidTr="003070C1">
        <w:trPr>
          <w:trHeight w:val="98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1C39E1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AC4DE7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E7" w:rsidRPr="00C95ADF" w:rsidRDefault="00AC4DE7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AC4DE7">
              <w:rPr>
                <w:rFonts w:ascii="Arial" w:hAnsi="Arial" w:cs="Arial"/>
                <w:color w:val="000000"/>
                <w:shd w:val="clear" w:color="auto" w:fill="F8F8F8"/>
              </w:rPr>
              <w:t>RFP PROC-AB-1412-14-HR</w:t>
            </w:r>
          </w:p>
        </w:tc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E7" w:rsidRPr="00C95ADF" w:rsidRDefault="00AC4DE7" w:rsidP="00082FBF">
            <w:pPr>
              <w:jc w:val="both"/>
              <w:rPr>
                <w:rFonts w:ascii="Arial" w:hAnsi="Arial" w:cs="Arial"/>
                <w:bCs/>
                <w:iCs/>
              </w:rPr>
            </w:pPr>
            <w:r w:rsidRPr="00AC4DE7">
              <w:rPr>
                <w:rFonts w:ascii="Arial" w:hAnsi="Arial" w:cs="Arial"/>
                <w:bCs/>
                <w:iCs/>
              </w:rPr>
              <w:t>Invitación a licitar para la provisión de servicios de capacitación virtual en inglés para la Unión Internacional de Telecomunicaciones (ITU) en Suiza de conformidad con las especificaciones detalladas en el pliego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AC4DE7">
              <w:rPr>
                <w:rFonts w:ascii="Arial" w:hAnsi="Arial" w:cs="Arial"/>
                <w:b/>
                <w:bCs/>
                <w:iCs/>
              </w:rPr>
              <w:t>(ITB).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DE7" w:rsidRDefault="00AC4DE7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ITU</w:t>
            </w:r>
          </w:p>
          <w:p w:rsidR="00AC4DE7" w:rsidRPr="00AC4DE7" w:rsidRDefault="00AC4DE7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C4DE7">
              <w:rPr>
                <w:rFonts w:ascii="Arial" w:hAnsi="Arial" w:cs="Arial"/>
                <w:bCs/>
                <w:iCs/>
              </w:rPr>
              <w:t>Suiza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C4DE7" w:rsidRDefault="00AC4DE7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AC4DE7" w:rsidRDefault="00AC4DE7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234109" w:rsidRPr="00594CC6" w:rsidTr="00442C96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109" w:rsidRPr="00234109" w:rsidRDefault="00C95ADF" w:rsidP="000A70AD">
            <w:pPr>
              <w:tabs>
                <w:tab w:val="left" w:pos="3686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C95ADF">
              <w:rPr>
                <w:rFonts w:ascii="Arial" w:hAnsi="Arial" w:cs="Arial"/>
                <w:color w:val="000000"/>
                <w:shd w:val="clear" w:color="auto" w:fill="F8F8F8"/>
              </w:rPr>
              <w:t>SVPU-2014-ITB-1438</w:t>
            </w:r>
          </w:p>
        </w:tc>
        <w:tc>
          <w:tcPr>
            <w:tcW w:w="3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09" w:rsidRPr="00234109" w:rsidRDefault="00C95ADF" w:rsidP="00082FBF">
            <w:pPr>
              <w:jc w:val="both"/>
              <w:rPr>
                <w:rFonts w:ascii="Arial" w:hAnsi="Arial" w:cs="Arial"/>
                <w:bCs/>
                <w:iCs/>
              </w:rPr>
            </w:pPr>
            <w:r w:rsidRPr="00C95ADF">
              <w:rPr>
                <w:rFonts w:ascii="Arial" w:hAnsi="Arial" w:cs="Arial"/>
                <w:bCs/>
                <w:iCs/>
              </w:rPr>
              <w:t>Invitación a licitar para el suministro e instalación de cabeza de radar (radar primario y secundario) para el aeropuerto internacional de E.S. a través de la Oficina de Servicios para Proyectos de Naciones Unidas (UNOPS)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C95ADF">
              <w:rPr>
                <w:rFonts w:ascii="Arial" w:hAnsi="Arial" w:cs="Arial"/>
                <w:b/>
                <w:bCs/>
                <w:iCs/>
              </w:rPr>
              <w:t>(ITB).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140" w:rsidRPr="00C95ADF" w:rsidRDefault="00C95ADF" w:rsidP="000A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95ADF"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C95ADF" w:rsidRPr="00D21140" w:rsidRDefault="00C95ADF" w:rsidP="000A70A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El Salvador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21140" w:rsidRDefault="00C95ADF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Julio 3</w:t>
            </w:r>
          </w:p>
          <w:p w:rsidR="00C95ADF" w:rsidRDefault="00C95ADF" w:rsidP="00687E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24567D" w:rsidRPr="001C39E1" w:rsidTr="003070C1"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24567D" w:rsidRPr="001C39E1" w:rsidRDefault="0024567D" w:rsidP="004A3A46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Tecnologías Limpias</w:t>
            </w:r>
          </w:p>
        </w:tc>
      </w:tr>
      <w:tr w:rsidR="0024567D" w:rsidRPr="001C39E1" w:rsidTr="00442C96">
        <w:tc>
          <w:tcPr>
            <w:tcW w:w="404" w:type="pct"/>
            <w:gridSpan w:val="2"/>
            <w:shd w:val="clear" w:color="auto" w:fill="auto"/>
            <w:vAlign w:val="center"/>
          </w:tcPr>
          <w:p w:rsidR="0024567D" w:rsidRPr="0024567D" w:rsidRDefault="0024567D" w:rsidP="0024567D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24567D">
              <w:rPr>
                <w:rFonts w:ascii="Arial" w:hAnsi="Arial" w:cs="Arial"/>
                <w:lang w:val="es-ES_tradnl"/>
              </w:rPr>
              <w:t>RFQ 22802-SB</w:t>
            </w:r>
          </w:p>
        </w:tc>
        <w:tc>
          <w:tcPr>
            <w:tcW w:w="3470" w:type="pct"/>
            <w:gridSpan w:val="3"/>
            <w:shd w:val="clear" w:color="auto" w:fill="auto"/>
            <w:vAlign w:val="center"/>
          </w:tcPr>
          <w:p w:rsidR="0024567D" w:rsidRPr="0024567D" w:rsidRDefault="0024567D" w:rsidP="0024567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24567D">
              <w:rPr>
                <w:rFonts w:ascii="Arial" w:hAnsi="Arial" w:cs="Arial"/>
                <w:lang w:val="es-ES_tradnl"/>
              </w:rPr>
              <w:t>Solicitud de cotización para la provisión de bomba de agua para el Organismo Internacional de la Energía Atómica (IAEA) en Mónaco para realizar muestreos de agua de mar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24567D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IAEA</w:t>
            </w:r>
          </w:p>
          <w:p w:rsidR="0024567D" w:rsidRP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24567D">
              <w:rPr>
                <w:rFonts w:ascii="Arial" w:hAnsi="Arial" w:cs="Arial"/>
                <w:lang w:val="es-ES_tradnl"/>
              </w:rPr>
              <w:t>Mónaco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4567D" w:rsidRP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24567D">
              <w:rPr>
                <w:rFonts w:ascii="Arial" w:hAnsi="Arial" w:cs="Arial"/>
                <w:lang w:val="es-ES_tradnl"/>
              </w:rPr>
              <w:t>Junio 20</w:t>
            </w:r>
          </w:p>
          <w:p w:rsidR="0024567D" w:rsidRPr="001C39E1" w:rsidRDefault="0024567D" w:rsidP="004A3A46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567D">
              <w:rPr>
                <w:rFonts w:ascii="Arial" w:hAnsi="Arial" w:cs="Arial"/>
                <w:lang w:val="es-ES_tradnl"/>
              </w:rPr>
              <w:t>2014</w:t>
            </w:r>
          </w:p>
        </w:tc>
      </w:tr>
      <w:tr w:rsidR="004A3A46" w:rsidRPr="001C39E1" w:rsidTr="003070C1"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4A3A46" w:rsidRPr="001C39E1" w:rsidRDefault="004A3A46" w:rsidP="004A3A4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C39E1">
              <w:rPr>
                <w:rFonts w:ascii="Arial" w:hAnsi="Arial" w:cs="Arial"/>
                <w:b/>
                <w:lang w:val="es-ES_tradnl"/>
              </w:rPr>
              <w:t xml:space="preserve">Equipamiento Médico – Hospitalario </w:t>
            </w:r>
            <w:r>
              <w:rPr>
                <w:rFonts w:ascii="Arial" w:hAnsi="Arial" w:cs="Arial"/>
                <w:b/>
                <w:lang w:val="es-ES_tradnl"/>
              </w:rPr>
              <w:t>–</w:t>
            </w:r>
            <w:r w:rsidRPr="001C39E1">
              <w:rPr>
                <w:rFonts w:ascii="Arial" w:hAnsi="Arial" w:cs="Arial"/>
                <w:b/>
                <w:lang w:val="es-ES_tradnl"/>
              </w:rPr>
              <w:t xml:space="preserve"> Farmacéutico</w:t>
            </w:r>
          </w:p>
        </w:tc>
      </w:tr>
      <w:tr w:rsidR="00122C6E" w:rsidRPr="001C39E1" w:rsidTr="003070C1">
        <w:trPr>
          <w:trHeight w:val="161"/>
        </w:trPr>
        <w:tc>
          <w:tcPr>
            <w:tcW w:w="395" w:type="pct"/>
            <w:vAlign w:val="center"/>
          </w:tcPr>
          <w:p w:rsidR="00122C6E" w:rsidRPr="0024567D" w:rsidRDefault="00122C6E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122C6E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ITB/ 2014-001</w:t>
            </w:r>
          </w:p>
        </w:tc>
        <w:tc>
          <w:tcPr>
            <w:tcW w:w="3472" w:type="pct"/>
            <w:gridSpan w:val="3"/>
            <w:vAlign w:val="center"/>
          </w:tcPr>
          <w:p w:rsidR="00122C6E" w:rsidRPr="0024567D" w:rsidRDefault="00122C6E" w:rsidP="006F6D4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22C6E">
              <w:rPr>
                <w:rFonts w:ascii="Arial" w:eastAsia="Calibri" w:hAnsi="Arial" w:cs="Arial"/>
                <w:lang w:eastAsia="en-US"/>
              </w:rPr>
              <w:t>Invitación</w:t>
            </w:r>
            <w:r w:rsidR="00711138">
              <w:rPr>
                <w:rFonts w:ascii="Arial" w:eastAsia="Calibri" w:hAnsi="Arial" w:cs="Arial"/>
                <w:lang w:eastAsia="en-US"/>
              </w:rPr>
              <w:t xml:space="preserve"> a licitar para la adquisici</w:t>
            </w:r>
            <w:r w:rsidRPr="00122C6E">
              <w:rPr>
                <w:rFonts w:ascii="Arial" w:eastAsia="Calibri" w:hAnsi="Arial" w:cs="Arial"/>
                <w:lang w:eastAsia="en-US"/>
              </w:rPr>
              <w:t xml:space="preserve">ón de una unidad móvil </w:t>
            </w:r>
            <w:proofErr w:type="spellStart"/>
            <w:r w:rsidRPr="00122C6E">
              <w:rPr>
                <w:rFonts w:ascii="Arial" w:eastAsia="Calibri" w:hAnsi="Arial" w:cs="Arial"/>
                <w:lang w:eastAsia="en-US"/>
              </w:rPr>
              <w:t>medicalizada</w:t>
            </w:r>
            <w:proofErr w:type="spellEnd"/>
            <w:r w:rsidRPr="00122C6E">
              <w:rPr>
                <w:rFonts w:ascii="Arial" w:eastAsia="Calibri" w:hAnsi="Arial" w:cs="Arial"/>
                <w:lang w:eastAsia="en-US"/>
              </w:rPr>
              <w:t xml:space="preserve"> para la Oficina de Servicios para Proyectos de Naciones Unidas (UNOPS) en Uruguay en el marco del Proyecto de Policlínica Móvil Dental y Ginecológica. Se deberá suministrar: lote 1 (un contenedor móvil carrozado a medida en el que se dispongan dos consultorios, un baño y un pequeño hall de distribución), lote 2 (una camioneta 4x4 con características que permitan arrastrar el carrozado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22C6E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122C6E" w:rsidRDefault="00711138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711138" w:rsidRPr="00711138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Uruguay</w:t>
            </w:r>
          </w:p>
        </w:tc>
        <w:tc>
          <w:tcPr>
            <w:tcW w:w="466" w:type="pct"/>
            <w:gridSpan w:val="2"/>
            <w:vAlign w:val="center"/>
          </w:tcPr>
          <w:p w:rsidR="00122C6E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711138" w:rsidRDefault="00711138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24567D" w:rsidRPr="001C39E1" w:rsidTr="003070C1">
        <w:trPr>
          <w:trHeight w:val="161"/>
        </w:trPr>
        <w:tc>
          <w:tcPr>
            <w:tcW w:w="395" w:type="pct"/>
            <w:vAlign w:val="center"/>
          </w:tcPr>
          <w:p w:rsidR="0024567D" w:rsidRPr="006F6D42" w:rsidRDefault="0024567D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24567D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ITB HN/ 2014-003</w:t>
            </w:r>
          </w:p>
        </w:tc>
        <w:tc>
          <w:tcPr>
            <w:tcW w:w="3472" w:type="pct"/>
            <w:gridSpan w:val="3"/>
            <w:vAlign w:val="center"/>
          </w:tcPr>
          <w:p w:rsidR="0024567D" w:rsidRPr="006F6D42" w:rsidRDefault="0024567D" w:rsidP="006F6D4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4567D">
              <w:rPr>
                <w:rFonts w:ascii="Arial" w:eastAsia="Calibri" w:hAnsi="Arial" w:cs="Arial"/>
                <w:lang w:eastAsia="en-US"/>
              </w:rPr>
              <w:t xml:space="preserve">Invitación a licitar para la adquisición de medicamentos para la secretaría de salud (SESAL) de la República de Honduras a través de la Oficina de Servicios para Proyectos de Naciones Unidas (UNOPS). La licitación está compuesta por un total de 232 lotes y se demanda ibuprofeno, </w:t>
            </w:r>
            <w:proofErr w:type="spellStart"/>
            <w:r w:rsidRPr="0024567D">
              <w:rPr>
                <w:rFonts w:ascii="Arial" w:eastAsia="Calibri" w:hAnsi="Arial" w:cs="Arial"/>
                <w:lang w:eastAsia="en-US"/>
              </w:rPr>
              <w:t>ranitidina</w:t>
            </w:r>
            <w:proofErr w:type="spellEnd"/>
            <w:r w:rsidRPr="0024567D">
              <w:rPr>
                <w:rFonts w:ascii="Arial" w:eastAsia="Calibri" w:hAnsi="Arial" w:cs="Arial"/>
                <w:lang w:eastAsia="en-US"/>
              </w:rPr>
              <w:t xml:space="preserve">, penicilina, </w:t>
            </w:r>
            <w:proofErr w:type="spellStart"/>
            <w:r w:rsidRPr="0024567D">
              <w:rPr>
                <w:rFonts w:ascii="Arial" w:eastAsia="Calibri" w:hAnsi="Arial" w:cs="Arial"/>
                <w:lang w:eastAsia="en-US"/>
              </w:rPr>
              <w:t>amoxicilina</w:t>
            </w:r>
            <w:proofErr w:type="spellEnd"/>
            <w:r w:rsidRPr="0024567D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24567D">
              <w:rPr>
                <w:rFonts w:ascii="Arial" w:eastAsia="Calibri" w:hAnsi="Arial" w:cs="Arial"/>
                <w:lang w:eastAsia="en-US"/>
              </w:rPr>
              <w:t>omeprazol</w:t>
            </w:r>
            <w:proofErr w:type="spellEnd"/>
            <w:r w:rsidRPr="0024567D">
              <w:rPr>
                <w:rFonts w:ascii="Arial" w:eastAsia="Calibri" w:hAnsi="Arial" w:cs="Arial"/>
                <w:lang w:eastAsia="en-US"/>
              </w:rPr>
              <w:t>, entre otros medicamentos. Se requiere que la fecha de expiración de los productos sea no menor a dos años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4567D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24567D" w:rsidRP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24567D">
              <w:rPr>
                <w:rFonts w:ascii="Arial" w:hAnsi="Arial" w:cs="Arial"/>
                <w:bCs/>
                <w:iCs/>
              </w:rPr>
              <w:t>Honduras</w:t>
            </w:r>
          </w:p>
        </w:tc>
        <w:tc>
          <w:tcPr>
            <w:tcW w:w="466" w:type="pct"/>
            <w:gridSpan w:val="2"/>
            <w:vAlign w:val="center"/>
          </w:tcPr>
          <w:p w:rsid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23</w:t>
            </w:r>
          </w:p>
          <w:p w:rsidR="0024567D" w:rsidRDefault="0024567D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6F6D42" w:rsidRPr="001C39E1" w:rsidTr="003070C1">
        <w:trPr>
          <w:trHeight w:val="161"/>
        </w:trPr>
        <w:tc>
          <w:tcPr>
            <w:tcW w:w="395" w:type="pct"/>
            <w:vAlign w:val="center"/>
          </w:tcPr>
          <w:p w:rsidR="006F6D42" w:rsidRPr="0081459E" w:rsidRDefault="006F6D42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6F6D42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16005</w:t>
            </w:r>
          </w:p>
        </w:tc>
        <w:tc>
          <w:tcPr>
            <w:tcW w:w="3472" w:type="pct"/>
            <w:gridSpan w:val="3"/>
            <w:vAlign w:val="center"/>
          </w:tcPr>
          <w:p w:rsidR="006F6D42" w:rsidRPr="0081459E" w:rsidRDefault="006F6D42" w:rsidP="006F6D42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F6D42">
              <w:rPr>
                <w:rFonts w:ascii="Arial" w:eastAsia="Calibri" w:hAnsi="Arial" w:cs="Arial"/>
                <w:lang w:eastAsia="en-US"/>
              </w:rPr>
              <w:t xml:space="preserve">En el marco del Proyecto PNUD ARG/10/002 del Ministerio de Salud de la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Pcia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gramStart"/>
            <w:r w:rsidRPr="006F6D42">
              <w:rPr>
                <w:rFonts w:ascii="Arial" w:eastAsia="Calibri" w:hAnsi="Arial" w:cs="Arial"/>
                <w:lang w:eastAsia="en-US"/>
              </w:rPr>
              <w:t>de</w:t>
            </w:r>
            <w:proofErr w:type="gramEnd"/>
            <w:r w:rsidRPr="006F6D42">
              <w:rPr>
                <w:rFonts w:ascii="Arial" w:eastAsia="Calibri" w:hAnsi="Arial" w:cs="Arial"/>
                <w:lang w:eastAsia="en-US"/>
              </w:rPr>
              <w:t xml:space="preserve"> Santa Fe y del Programa de las Naciones Unidas para el Desarrollo (UNDP), se convoca a la Licitación Pública </w:t>
            </w:r>
            <w:r w:rsidRPr="006F6D42">
              <w:rPr>
                <w:rFonts w:ascii="Arial" w:eastAsia="Calibri" w:hAnsi="Arial" w:cs="Arial"/>
                <w:lang w:eastAsia="en-US"/>
              </w:rPr>
              <w:lastRenderedPageBreak/>
              <w:t xml:space="preserve">Internacional para la  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6F6D42">
              <w:rPr>
                <w:rFonts w:ascii="Arial" w:eastAsia="Calibri" w:hAnsi="Arial" w:cs="Arial"/>
                <w:lang w:eastAsia="en-US"/>
              </w:rPr>
              <w:t xml:space="preserve">dquisición de medicamentos. Se requieren: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acenocumarol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4 mg,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amiodarona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amlodipina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amoxicilina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Clavulonico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azitromicina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carbamazepina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coiprofloxacina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clonazepam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dexametasona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digoxina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fenitoina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gemfibrozil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600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levodopa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250mg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carbidopa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Levotiroxina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100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mcg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nifedipina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Rtd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magnesio 200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magnesio 400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 Además, se deberá suministrar las siguientes ampollas: agua destilada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ml, agua destilada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5 ml, ampicilina 1 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dexametasona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8/2 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diazepan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furosemida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gentamicina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80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hioscina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BB 20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1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isoxuprina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lidocaina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1% s/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epinefrina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5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metoclopramida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10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x 2 ml, morfina 1%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penicilina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Sodica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3 MUI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Fca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Otros ítems demandados: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amoxicilina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250 mg +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ac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clavulanico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62,5 mg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cotrimoxazol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oral 200/40 mg/ 5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gentamicina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0,3%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gts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oft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ibuprofeno 2%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mebendazol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20 mg/ ml,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metronidazol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125 mg/5ml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susp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., nistatina óvulos vaginales 100000 UI,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salbutamol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aerosol, sales p/ rehidratación oral, sulfato ferroso 125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mg.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/ml gotas,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valproato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de sodio 250 mg/5ml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Jbe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6F6D42">
              <w:rPr>
                <w:rFonts w:ascii="Arial" w:eastAsia="Calibri" w:hAnsi="Arial" w:cs="Arial"/>
                <w:lang w:eastAsia="en-US"/>
              </w:rPr>
              <w:t>Vitamin</w:t>
            </w:r>
            <w:proofErr w:type="spellEnd"/>
            <w:r w:rsidRPr="006F6D42">
              <w:rPr>
                <w:rFonts w:ascii="Arial" w:eastAsia="Calibri" w:hAnsi="Arial" w:cs="Arial"/>
                <w:lang w:eastAsia="en-US"/>
              </w:rPr>
              <w:t xml:space="preserve"> A+C+D gotas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F6D42">
              <w:rPr>
                <w:rFonts w:ascii="Arial" w:eastAsia="Calibri" w:hAnsi="Arial" w:cs="Arial"/>
                <w:b/>
                <w:lang w:eastAsia="en-US"/>
              </w:rPr>
              <w:t>(ITB)</w:t>
            </w:r>
            <w:r w:rsidRPr="006F6D4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UNDP</w:t>
            </w:r>
          </w:p>
          <w:p w:rsidR="006F6D42" w:rsidRP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Argentina</w:t>
            </w:r>
          </w:p>
        </w:tc>
        <w:tc>
          <w:tcPr>
            <w:tcW w:w="466" w:type="pct"/>
            <w:gridSpan w:val="2"/>
            <w:vAlign w:val="center"/>
          </w:tcPr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30</w:t>
            </w:r>
          </w:p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  <w:p w:rsidR="006F6D42" w:rsidRDefault="006F6D42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1459E" w:rsidRPr="001C39E1" w:rsidTr="003070C1">
        <w:trPr>
          <w:trHeight w:val="161"/>
        </w:trPr>
        <w:tc>
          <w:tcPr>
            <w:tcW w:w="395" w:type="pct"/>
            <w:vAlign w:val="center"/>
          </w:tcPr>
          <w:p w:rsidR="0081459E" w:rsidRPr="00537AA4" w:rsidRDefault="0081459E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81459E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lastRenderedPageBreak/>
              <w:t>UNOPS/GTM/ITB-003/2014</w:t>
            </w:r>
          </w:p>
        </w:tc>
        <w:tc>
          <w:tcPr>
            <w:tcW w:w="3472" w:type="pct"/>
            <w:gridSpan w:val="3"/>
            <w:vAlign w:val="center"/>
          </w:tcPr>
          <w:p w:rsidR="0081459E" w:rsidRPr="00537AA4" w:rsidRDefault="0081459E" w:rsidP="003D4C5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1459E">
              <w:rPr>
                <w:rFonts w:ascii="Arial" w:eastAsia="Calibri" w:hAnsi="Arial" w:cs="Arial"/>
                <w:lang w:eastAsia="en-US"/>
              </w:rPr>
              <w:t>Invitación a licitar para la adquisición de equipamiento para el Instituto Guatemalteco de Seguridad Social (IGSS) a través de la Oficina de Servicios para Proyectos de Naciones Unidas en Guatemala. Se deberá suministrar: lote 1 (bomba de vacío de grado médico), lote 2 (compresor para aire médico)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459E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UNOPS</w:t>
            </w:r>
          </w:p>
          <w:p w:rsidR="0081459E" w:rsidRP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Guatemala</w:t>
            </w:r>
          </w:p>
        </w:tc>
        <w:tc>
          <w:tcPr>
            <w:tcW w:w="466" w:type="pct"/>
            <w:gridSpan w:val="2"/>
            <w:vAlign w:val="center"/>
          </w:tcPr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26</w:t>
            </w:r>
          </w:p>
          <w:p w:rsidR="0081459E" w:rsidRDefault="0081459E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D75C35" w:rsidRPr="001C39E1" w:rsidTr="003070C1">
        <w:trPr>
          <w:trHeight w:val="161"/>
        </w:trPr>
        <w:tc>
          <w:tcPr>
            <w:tcW w:w="395" w:type="pct"/>
            <w:vAlign w:val="center"/>
          </w:tcPr>
          <w:p w:rsidR="00D75C35" w:rsidRPr="00DF5B8B" w:rsidRDefault="00D75C35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</w:pPr>
            <w:r w:rsidRPr="00D75C35">
              <w:rPr>
                <w:rFonts w:ascii="Arial" w:hAnsi="Arial" w:cs="Arial"/>
                <w:color w:val="000000"/>
                <w:shd w:val="clear" w:color="auto" w:fill="F8F8F8"/>
                <w:lang w:val="fr-FR"/>
              </w:rPr>
              <w:t>15744</w:t>
            </w:r>
          </w:p>
        </w:tc>
        <w:tc>
          <w:tcPr>
            <w:tcW w:w="3472" w:type="pct"/>
            <w:gridSpan w:val="3"/>
            <w:vAlign w:val="center"/>
          </w:tcPr>
          <w:p w:rsidR="00D75C35" w:rsidRPr="00DF5B8B" w:rsidRDefault="00D75C35" w:rsidP="004A3A4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75C35">
              <w:rPr>
                <w:rFonts w:ascii="Arial" w:eastAsia="Calibri" w:hAnsi="Arial" w:cs="Arial"/>
                <w:lang w:eastAsia="en-US"/>
              </w:rPr>
              <w:t>Invitación a licitar para la adquisición de insumos médicos para el Programa de Fortalecimiento de la Estrategia de la Atención Primaria de la Salud (FEAPS) a través del Programa de Naciones Unidas para el Desarrollo (UNDP) en Argentina. Se deberán suministrar: Lote 1: Cinta Métrica, 40.000 unidades; Lote 2: Monofilamentos descartables, 1.500.000 unidades; Lote 3: Monofilamentos permanentes, 40.000 unidades; Lote 4: Diapasón, 3.200 unidades; Lote 5: Medidor de sensibilidad térmica, 23.000 unidades; Lote 6: Tensiómetros de adultos, 15.000 unidades; Lote 7: Martillo de reflejos, 3.200 unidades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75C35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D75C35" w:rsidRDefault="00D75C35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UNDP</w:t>
            </w:r>
          </w:p>
          <w:p w:rsidR="00D75C35" w:rsidRPr="00D75C35" w:rsidRDefault="00D75C35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Argentina</w:t>
            </w:r>
          </w:p>
        </w:tc>
        <w:tc>
          <w:tcPr>
            <w:tcW w:w="466" w:type="pct"/>
            <w:gridSpan w:val="2"/>
            <w:vAlign w:val="center"/>
          </w:tcPr>
          <w:p w:rsidR="00D75C35" w:rsidRDefault="00D75C35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Junio 23</w:t>
            </w:r>
          </w:p>
          <w:p w:rsidR="00D75C35" w:rsidRDefault="00D75C35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</w:t>
            </w:r>
          </w:p>
        </w:tc>
      </w:tr>
      <w:tr w:rsidR="00F0637B" w:rsidRPr="001C39E1" w:rsidTr="003070C1">
        <w:trPr>
          <w:trHeight w:val="161"/>
        </w:trPr>
        <w:tc>
          <w:tcPr>
            <w:tcW w:w="395" w:type="pct"/>
            <w:vAlign w:val="center"/>
          </w:tcPr>
          <w:p w:rsidR="00F0637B" w:rsidRPr="001122DD" w:rsidRDefault="00F83E71" w:rsidP="004A3A46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F83E71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UNFPA/CPH/12/055</w:t>
            </w:r>
          </w:p>
        </w:tc>
        <w:tc>
          <w:tcPr>
            <w:tcW w:w="3472" w:type="pct"/>
            <w:gridSpan w:val="3"/>
            <w:vAlign w:val="center"/>
          </w:tcPr>
          <w:p w:rsidR="00F0637B" w:rsidRPr="0022155E" w:rsidRDefault="00F0637B" w:rsidP="004A3A4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0637B">
              <w:rPr>
                <w:rFonts w:ascii="Arial" w:eastAsia="Calibri" w:hAnsi="Arial" w:cs="Arial"/>
                <w:lang w:eastAsia="en-US"/>
              </w:rPr>
              <w:t xml:space="preserve">Invitación a licitar para el suministro de condones de </w:t>
            </w:r>
            <w:proofErr w:type="spellStart"/>
            <w:r w:rsidRPr="00F0637B">
              <w:rPr>
                <w:rFonts w:ascii="Arial" w:eastAsia="Calibri" w:hAnsi="Arial" w:cs="Arial"/>
                <w:lang w:eastAsia="en-US"/>
              </w:rPr>
              <w:t>latex</w:t>
            </w:r>
            <w:proofErr w:type="spellEnd"/>
            <w:r w:rsidRPr="00F0637B">
              <w:rPr>
                <w:rFonts w:ascii="Arial" w:eastAsia="Calibri" w:hAnsi="Arial" w:cs="Arial"/>
                <w:lang w:eastAsia="en-US"/>
              </w:rPr>
              <w:t xml:space="preserve"> y dispositivo intrauterino para el Fondo de Población de las Naciones </w:t>
            </w:r>
            <w:r w:rsidRPr="00F0637B">
              <w:rPr>
                <w:rFonts w:ascii="Arial" w:eastAsia="Calibri" w:hAnsi="Arial" w:cs="Arial"/>
                <w:lang w:eastAsia="en-US"/>
              </w:rPr>
              <w:lastRenderedPageBreak/>
              <w:t>Unidas (UNFPA) de conformidad con las especificaciones técnicas</w:t>
            </w:r>
            <w:r w:rsidR="00F83E7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83E71" w:rsidRPr="00F83E71">
              <w:rPr>
                <w:rFonts w:ascii="Arial" w:eastAsia="Calibri" w:hAnsi="Arial" w:cs="Arial"/>
                <w:b/>
                <w:lang w:eastAsia="en-US"/>
              </w:rPr>
              <w:t>(ITB).</w:t>
            </w:r>
          </w:p>
        </w:tc>
        <w:tc>
          <w:tcPr>
            <w:tcW w:w="667" w:type="pct"/>
            <w:gridSpan w:val="3"/>
            <w:vAlign w:val="center"/>
          </w:tcPr>
          <w:p w:rsidR="00F0637B" w:rsidRDefault="00F83E71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UNFPA</w:t>
            </w:r>
          </w:p>
          <w:p w:rsidR="00F83E71" w:rsidRPr="00F83E71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Varios </w:t>
            </w:r>
            <w:r>
              <w:rPr>
                <w:rFonts w:ascii="Arial" w:hAnsi="Arial" w:cs="Arial"/>
                <w:bCs/>
                <w:iCs/>
              </w:rPr>
              <w:lastRenderedPageBreak/>
              <w:t>Países*</w:t>
            </w:r>
          </w:p>
        </w:tc>
        <w:tc>
          <w:tcPr>
            <w:tcW w:w="466" w:type="pct"/>
            <w:gridSpan w:val="2"/>
            <w:vAlign w:val="center"/>
          </w:tcPr>
          <w:p w:rsidR="00F0637B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Diciembre 12</w:t>
            </w:r>
          </w:p>
          <w:p w:rsidR="00F83E71" w:rsidRDefault="00F83E71" w:rsidP="004A3A46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2014</w:t>
            </w:r>
          </w:p>
        </w:tc>
      </w:tr>
      <w:tr w:rsidR="0081459E" w:rsidRPr="00AC72FB" w:rsidTr="0081459E">
        <w:trPr>
          <w:trHeight w:val="302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81459E" w:rsidRPr="0081459E" w:rsidRDefault="005B4C09" w:rsidP="004A3A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Servicios de Idiomas</w:t>
            </w:r>
          </w:p>
        </w:tc>
      </w:tr>
      <w:tr w:rsidR="00306D5B" w:rsidRPr="00AC72FB" w:rsidTr="00442C96">
        <w:trPr>
          <w:trHeight w:val="302"/>
        </w:trPr>
        <w:tc>
          <w:tcPr>
            <w:tcW w:w="395" w:type="pct"/>
            <w:vAlign w:val="center"/>
          </w:tcPr>
          <w:p w:rsidR="00306D5B" w:rsidRPr="00306D5B" w:rsidRDefault="00306D5B" w:rsidP="00306D5B">
            <w:pPr>
              <w:rPr>
                <w:rFonts w:ascii="Arial" w:hAnsi="Arial" w:cs="Arial"/>
              </w:rPr>
            </w:pPr>
            <w:r w:rsidRPr="00306D5B">
              <w:rPr>
                <w:rStyle w:val="value"/>
                <w:rFonts w:ascii="Arial" w:hAnsi="Arial" w:cs="Arial"/>
              </w:rPr>
              <w:t>EOIUNON9898</w:t>
            </w:r>
            <w:r w:rsidRPr="00306D5B">
              <w:rPr>
                <w:rFonts w:ascii="Arial" w:hAnsi="Arial" w:cs="Arial"/>
              </w:rPr>
              <w:t xml:space="preserve"> </w:t>
            </w:r>
          </w:p>
          <w:p w:rsidR="00306D5B" w:rsidRPr="00306D5B" w:rsidRDefault="00306D5B" w:rsidP="00306D5B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</w:p>
        </w:tc>
        <w:tc>
          <w:tcPr>
            <w:tcW w:w="3479" w:type="pct"/>
            <w:gridSpan w:val="4"/>
            <w:vAlign w:val="center"/>
          </w:tcPr>
          <w:p w:rsidR="00306D5B" w:rsidRPr="00306D5B" w:rsidRDefault="00306D5B" w:rsidP="00306D5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06D5B">
              <w:rPr>
                <w:rFonts w:ascii="Arial" w:eastAsia="Calibri" w:hAnsi="Arial" w:cs="Arial"/>
                <w:lang w:eastAsia="en-US"/>
              </w:rPr>
              <w:t xml:space="preserve">La Programa de las Naciones Unidas (UNEP), invita a las empresas calificadas a presentar sus expresiones de interés para participar </w:t>
            </w:r>
            <w:r w:rsidRPr="00306D5B">
              <w:rPr>
                <w:rFonts w:ascii="Arial" w:eastAsia="Calibri" w:hAnsi="Arial" w:cs="Arial"/>
                <w:lang w:eastAsia="en-US"/>
              </w:rPr>
              <w:t>de un próximo llamado a licitación para prestar</w:t>
            </w:r>
            <w:r w:rsidRPr="00306D5B">
              <w:rPr>
                <w:rFonts w:ascii="Arial" w:eastAsia="Calibri" w:hAnsi="Arial" w:cs="Arial"/>
                <w:lang w:eastAsia="en-US"/>
              </w:rPr>
              <w:t xml:space="preserve"> servicios de traducción de documentos</w:t>
            </w:r>
            <w:r w:rsidRPr="00306D5B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06D5B">
              <w:rPr>
                <w:rFonts w:ascii="Arial" w:eastAsia="Calibri" w:hAnsi="Arial" w:cs="Arial"/>
                <w:b/>
                <w:lang w:eastAsia="en-US"/>
              </w:rPr>
              <w:t>(EOI).</w:t>
            </w:r>
          </w:p>
        </w:tc>
        <w:tc>
          <w:tcPr>
            <w:tcW w:w="639" w:type="pct"/>
            <w:vAlign w:val="center"/>
          </w:tcPr>
          <w:p w:rsidR="00306D5B" w:rsidRPr="00306D5B" w:rsidRDefault="00306D5B" w:rsidP="0030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6D5B">
              <w:rPr>
                <w:rStyle w:val="value"/>
                <w:rFonts w:ascii="Arial" w:hAnsi="Arial" w:cs="Arial"/>
                <w:b/>
              </w:rPr>
              <w:t>Secretaría de las Naciones Unidas</w:t>
            </w:r>
          </w:p>
          <w:p w:rsidR="00306D5B" w:rsidRPr="00306D5B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306D5B">
              <w:rPr>
                <w:rFonts w:ascii="Arial" w:hAnsi="Arial" w:cs="Arial"/>
                <w:bCs/>
                <w:iCs/>
              </w:rPr>
              <w:t>Kenia</w:t>
            </w:r>
          </w:p>
        </w:tc>
        <w:tc>
          <w:tcPr>
            <w:tcW w:w="487" w:type="pct"/>
            <w:gridSpan w:val="3"/>
            <w:vAlign w:val="center"/>
          </w:tcPr>
          <w:p w:rsidR="00306D5B" w:rsidRPr="00306D5B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306D5B">
              <w:rPr>
                <w:rFonts w:ascii="Arial" w:hAnsi="Arial" w:cs="Arial"/>
                <w:bCs/>
                <w:iCs/>
              </w:rPr>
              <w:t>Junio 30 2014</w:t>
            </w:r>
          </w:p>
        </w:tc>
      </w:tr>
      <w:tr w:rsidR="00306D5B" w:rsidRPr="00AC72FB" w:rsidTr="00442C96">
        <w:trPr>
          <w:trHeight w:val="302"/>
        </w:trPr>
        <w:tc>
          <w:tcPr>
            <w:tcW w:w="395" w:type="pct"/>
            <w:vAlign w:val="center"/>
          </w:tcPr>
          <w:p w:rsidR="00306D5B" w:rsidRPr="00E807B8" w:rsidRDefault="00306D5B" w:rsidP="00306D5B">
            <w:pPr>
              <w:rPr>
                <w:rFonts w:ascii="Arial" w:hAnsi="Arial" w:cs="Arial"/>
              </w:rPr>
            </w:pPr>
            <w:r w:rsidRPr="00E807B8">
              <w:rPr>
                <w:rStyle w:val="value"/>
                <w:rFonts w:ascii="Arial" w:hAnsi="Arial" w:cs="Arial"/>
              </w:rPr>
              <w:t>EOIUNICTY9900</w:t>
            </w:r>
            <w:r w:rsidRPr="00E807B8">
              <w:rPr>
                <w:rFonts w:ascii="Arial" w:hAnsi="Arial" w:cs="Arial"/>
              </w:rPr>
              <w:t xml:space="preserve"> </w:t>
            </w:r>
          </w:p>
          <w:p w:rsidR="00306D5B" w:rsidRPr="00306D5B" w:rsidRDefault="00306D5B" w:rsidP="00306D5B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</w:p>
        </w:tc>
        <w:tc>
          <w:tcPr>
            <w:tcW w:w="3479" w:type="pct"/>
            <w:gridSpan w:val="4"/>
            <w:vAlign w:val="center"/>
          </w:tcPr>
          <w:p w:rsidR="00306D5B" w:rsidRPr="00484029" w:rsidRDefault="00306D5B" w:rsidP="00306D5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84029">
              <w:rPr>
                <w:rStyle w:val="hps"/>
                <w:rFonts w:ascii="Arial" w:hAnsi="Arial" w:cs="Arial"/>
              </w:rPr>
              <w:t>El Tribunal Penal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Internacional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de la ONU</w:t>
            </w:r>
            <w:r w:rsidRPr="00484029">
              <w:rPr>
                <w:rStyle w:val="atn"/>
                <w:rFonts w:ascii="Arial" w:hAnsi="Arial" w:cs="Arial"/>
              </w:rPr>
              <w:t>-</w:t>
            </w:r>
            <w:r w:rsidRPr="00484029">
              <w:rPr>
                <w:rFonts w:ascii="Arial" w:hAnsi="Arial" w:cs="Arial"/>
              </w:rPr>
              <w:t xml:space="preserve">para la ex </w:t>
            </w:r>
            <w:r w:rsidRPr="00484029">
              <w:rPr>
                <w:rStyle w:val="hps"/>
                <w:rFonts w:ascii="Arial" w:hAnsi="Arial" w:cs="Arial"/>
              </w:rPr>
              <w:t>Yugoslavia (</w:t>
            </w:r>
            <w:r w:rsidRPr="00484029">
              <w:rPr>
                <w:rFonts w:ascii="Arial" w:hAnsi="Arial" w:cs="Arial"/>
              </w:rPr>
              <w:t xml:space="preserve">TPIY) </w:t>
            </w:r>
            <w:r w:rsidRPr="00484029">
              <w:rPr>
                <w:rStyle w:val="hps"/>
                <w:rFonts w:ascii="Arial" w:hAnsi="Arial" w:cs="Arial"/>
              </w:rPr>
              <w:t>con sede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en La Haya</w:t>
            </w:r>
            <w:r w:rsidRPr="00484029">
              <w:rPr>
                <w:rFonts w:ascii="Arial" w:hAnsi="Arial" w:cs="Arial"/>
              </w:rPr>
              <w:t xml:space="preserve">, Países Bajos, </w:t>
            </w:r>
            <w:r w:rsidRPr="00484029">
              <w:rPr>
                <w:rStyle w:val="hps"/>
                <w:rFonts w:ascii="Arial" w:hAnsi="Arial" w:cs="Arial"/>
              </w:rPr>
              <w:t>busca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de proveedores</w:t>
            </w:r>
            <w:r w:rsidRPr="00484029">
              <w:rPr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</w:rPr>
              <w:t xml:space="preserve">calificados para el suministro de componentes visuales y electrónicos de audio. Se prevé que el contrato inicie el 1 de enero de 2015 y tenga duración de un año, con posibilidad de ser renovado por otro año más. </w:t>
            </w:r>
            <w:r w:rsidRPr="00484029">
              <w:rPr>
                <w:rStyle w:val="hps"/>
                <w:rFonts w:ascii="Arial" w:hAnsi="Arial" w:cs="Arial"/>
              </w:rPr>
              <w:t>El valor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estimado del contrato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es de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33.000,00</w:t>
            </w:r>
            <w:r w:rsidRPr="00484029">
              <w:rPr>
                <w:rFonts w:ascii="Arial" w:hAnsi="Arial" w:cs="Arial"/>
              </w:rPr>
              <w:t xml:space="preserve"> </w:t>
            </w:r>
            <w:r w:rsidRPr="00484029">
              <w:rPr>
                <w:rStyle w:val="hps"/>
                <w:rFonts w:ascii="Arial" w:hAnsi="Arial" w:cs="Arial"/>
              </w:rPr>
              <w:t>euros</w:t>
            </w:r>
            <w:r>
              <w:rPr>
                <w:rStyle w:val="hps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(EOI</w:t>
            </w:r>
            <w:r w:rsidRPr="00A62DCE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639" w:type="pct"/>
            <w:vAlign w:val="center"/>
          </w:tcPr>
          <w:p w:rsidR="00306D5B" w:rsidRPr="00E807B8" w:rsidRDefault="00306D5B" w:rsidP="00306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735">
              <w:rPr>
                <w:rStyle w:val="value"/>
                <w:rFonts w:ascii="Arial" w:hAnsi="Arial" w:cs="Arial"/>
                <w:b/>
              </w:rPr>
              <w:t>Secretaría de las Naciones Unidas</w:t>
            </w:r>
          </w:p>
          <w:p w:rsidR="00306D5B" w:rsidRPr="00E807B8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807B8">
              <w:rPr>
                <w:rFonts w:ascii="Arial" w:hAnsi="Arial" w:cs="Arial"/>
              </w:rPr>
              <w:t>Los Países Bajos</w:t>
            </w:r>
          </w:p>
        </w:tc>
        <w:tc>
          <w:tcPr>
            <w:tcW w:w="487" w:type="pct"/>
            <w:gridSpan w:val="3"/>
            <w:vAlign w:val="center"/>
          </w:tcPr>
          <w:p w:rsidR="00306D5B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B008B3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 xml:space="preserve">lio </w:t>
            </w:r>
            <w:r w:rsidRPr="00B008B3">
              <w:rPr>
                <w:rFonts w:ascii="Arial" w:hAnsi="Arial" w:cs="Arial"/>
              </w:rPr>
              <w:t>7 2014</w:t>
            </w:r>
          </w:p>
        </w:tc>
      </w:tr>
      <w:tr w:rsidR="00306D5B" w:rsidRPr="00AC72FB" w:rsidTr="00442C96">
        <w:trPr>
          <w:trHeight w:val="302"/>
        </w:trPr>
        <w:tc>
          <w:tcPr>
            <w:tcW w:w="395" w:type="pct"/>
            <w:vAlign w:val="center"/>
          </w:tcPr>
          <w:p w:rsidR="00306D5B" w:rsidRPr="00B008B3" w:rsidRDefault="00306D5B" w:rsidP="00306D5B">
            <w:pPr>
              <w:tabs>
                <w:tab w:val="left" w:pos="4740"/>
              </w:tabs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B008B3">
              <w:rPr>
                <w:rStyle w:val="value"/>
                <w:rFonts w:ascii="Arial" w:hAnsi="Arial" w:cs="Arial"/>
              </w:rPr>
              <w:t>EOIUNMISS9901</w:t>
            </w:r>
          </w:p>
        </w:tc>
        <w:tc>
          <w:tcPr>
            <w:tcW w:w="3479" w:type="pct"/>
            <w:gridSpan w:val="4"/>
            <w:vAlign w:val="center"/>
          </w:tcPr>
          <w:p w:rsidR="00306D5B" w:rsidRPr="00D34735" w:rsidRDefault="00306D5B" w:rsidP="00306D5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34735">
              <w:rPr>
                <w:rFonts w:ascii="Arial" w:hAnsi="Arial" w:cs="Arial"/>
              </w:rPr>
              <w:t xml:space="preserve">La Misión de las Naciones Unidas en la República de Sudán del Sur (UNMISS) tiene la intención de establecer un contrato </w:t>
            </w:r>
            <w:r>
              <w:rPr>
                <w:rFonts w:ascii="Arial" w:hAnsi="Arial" w:cs="Arial"/>
              </w:rPr>
              <w:t>de</w:t>
            </w:r>
            <w:r w:rsidRPr="00D34735">
              <w:rPr>
                <w:rFonts w:ascii="Arial" w:hAnsi="Arial" w:cs="Arial"/>
              </w:rPr>
              <w:t xml:space="preserve"> largo plazo pa</w:t>
            </w:r>
            <w:r>
              <w:rPr>
                <w:rFonts w:ascii="Arial" w:hAnsi="Arial" w:cs="Arial"/>
              </w:rPr>
              <w:t>ra la prestación de satélite de</w:t>
            </w:r>
            <w:r w:rsidRPr="00D34735">
              <w:rPr>
                <w:rFonts w:ascii="Arial" w:hAnsi="Arial" w:cs="Arial"/>
              </w:rPr>
              <w:t xml:space="preserve"> canal de audio</w:t>
            </w:r>
            <w:r>
              <w:rPr>
                <w:rFonts w:ascii="Arial" w:hAnsi="Arial" w:cs="Arial"/>
              </w:rPr>
              <w:t>. El contrato tendrá una duración de un año y podrá ser renovado por un período de dos años</w:t>
            </w:r>
            <w:r>
              <w:rPr>
                <w:rFonts w:ascii="Arial" w:hAnsi="Arial" w:cs="Arial"/>
                <w:b/>
              </w:rPr>
              <w:t xml:space="preserve"> EOI</w:t>
            </w:r>
            <w:r w:rsidRPr="00A62DCE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639" w:type="pct"/>
            <w:vAlign w:val="center"/>
          </w:tcPr>
          <w:p w:rsidR="00306D5B" w:rsidRPr="00D34735" w:rsidRDefault="00306D5B" w:rsidP="00306D5B">
            <w:pPr>
              <w:spacing w:line="276" w:lineRule="auto"/>
              <w:jc w:val="center"/>
              <w:rPr>
                <w:rStyle w:val="value"/>
                <w:rFonts w:ascii="Arial" w:hAnsi="Arial" w:cs="Arial"/>
                <w:b/>
              </w:rPr>
            </w:pPr>
            <w:r w:rsidRPr="00D34735">
              <w:rPr>
                <w:rStyle w:val="value"/>
                <w:rFonts w:ascii="Arial" w:hAnsi="Arial" w:cs="Arial"/>
                <w:b/>
              </w:rPr>
              <w:t>Secretaría de las Naciones Unidas</w:t>
            </w:r>
          </w:p>
          <w:p w:rsidR="00306D5B" w:rsidRPr="00B008B3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D34735">
              <w:rPr>
                <w:rFonts w:ascii="Arial" w:hAnsi="Arial" w:cs="Arial"/>
              </w:rPr>
              <w:t>Sudán del Sur</w:t>
            </w:r>
          </w:p>
        </w:tc>
        <w:tc>
          <w:tcPr>
            <w:tcW w:w="487" w:type="pct"/>
            <w:gridSpan w:val="3"/>
            <w:vAlign w:val="center"/>
          </w:tcPr>
          <w:p w:rsidR="00306D5B" w:rsidRPr="00B008B3" w:rsidRDefault="00306D5B" w:rsidP="00306D5B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B008B3">
              <w:rPr>
                <w:rFonts w:ascii="Arial" w:hAnsi="Arial" w:cs="Arial"/>
              </w:rPr>
              <w:t xml:space="preserve">Junio </w:t>
            </w:r>
            <w:r>
              <w:rPr>
                <w:rFonts w:ascii="Arial" w:hAnsi="Arial" w:cs="Arial"/>
              </w:rPr>
              <w:t>30</w:t>
            </w:r>
            <w:r w:rsidRPr="00B008B3">
              <w:rPr>
                <w:rFonts w:ascii="Arial" w:hAnsi="Arial" w:cs="Arial"/>
              </w:rPr>
              <w:t xml:space="preserve"> 2014</w:t>
            </w:r>
          </w:p>
        </w:tc>
      </w:tr>
      <w:tr w:rsidR="00306D5B" w:rsidRPr="001C39E1" w:rsidTr="003070C1">
        <w:trPr>
          <w:trHeight w:val="259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306D5B" w:rsidRPr="00861BE4" w:rsidRDefault="00306D5B" w:rsidP="00306D5B">
            <w:pPr>
              <w:jc w:val="center"/>
              <w:rPr>
                <w:rFonts w:ascii="Arial" w:hAnsi="Arial" w:cs="Arial"/>
                <w:b/>
              </w:rPr>
            </w:pPr>
            <w:r w:rsidRPr="00861BE4">
              <w:rPr>
                <w:rFonts w:ascii="Arial" w:hAnsi="Arial" w:cs="Arial"/>
                <w:b/>
              </w:rPr>
              <w:t>Otros</w:t>
            </w:r>
          </w:p>
        </w:tc>
      </w:tr>
      <w:tr w:rsidR="00306D5B" w:rsidRPr="0078563C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306D5B" w:rsidRPr="005B4C09" w:rsidRDefault="00306D5B" w:rsidP="00306D5B">
            <w:pPr>
              <w:jc w:val="both"/>
              <w:rPr>
                <w:rFonts w:ascii="Arial" w:hAnsi="Arial" w:cs="Arial"/>
                <w:color w:val="000000"/>
                <w:shd w:val="clear" w:color="auto" w:fill="F8F8F8"/>
              </w:rPr>
            </w:pPr>
            <w:r w:rsidRPr="005B4C09">
              <w:rPr>
                <w:rFonts w:ascii="Arial" w:hAnsi="Arial" w:cs="Arial"/>
                <w:color w:val="000000"/>
                <w:shd w:val="clear" w:color="auto" w:fill="F8F8F8"/>
              </w:rPr>
              <w:t>SVPU-2014-ITB-1411</w:t>
            </w:r>
          </w:p>
        </w:tc>
        <w:tc>
          <w:tcPr>
            <w:tcW w:w="3472" w:type="pct"/>
            <w:gridSpan w:val="3"/>
            <w:shd w:val="clear" w:color="auto" w:fill="auto"/>
            <w:vAlign w:val="center"/>
          </w:tcPr>
          <w:p w:rsidR="00306D5B" w:rsidRPr="0078563C" w:rsidRDefault="00306D5B" w:rsidP="00306D5B">
            <w:pPr>
              <w:jc w:val="both"/>
              <w:rPr>
                <w:rFonts w:ascii="Arial" w:hAnsi="Arial" w:cs="Arial"/>
              </w:rPr>
            </w:pPr>
            <w:r w:rsidRPr="00A62DCE">
              <w:rPr>
                <w:rFonts w:ascii="Arial" w:hAnsi="Arial" w:cs="Arial"/>
              </w:rPr>
              <w:t xml:space="preserve">Invitación a licitar para la adquisición de un tractor de bandas para el puerto de </w:t>
            </w:r>
            <w:proofErr w:type="spellStart"/>
            <w:r w:rsidRPr="00A62DCE">
              <w:rPr>
                <w:rFonts w:ascii="Arial" w:hAnsi="Arial" w:cs="Arial"/>
              </w:rPr>
              <w:t>Acajutla</w:t>
            </w:r>
            <w:proofErr w:type="spellEnd"/>
            <w:r w:rsidRPr="00A62DCE">
              <w:rPr>
                <w:rFonts w:ascii="Arial" w:hAnsi="Arial" w:cs="Arial"/>
              </w:rPr>
              <w:t>, El Salvador, a través de la Oficina de Servicios para Proyectos de Naciones Unidas (UNOPS)</w:t>
            </w:r>
            <w:r>
              <w:rPr>
                <w:rFonts w:ascii="Arial" w:hAnsi="Arial" w:cs="Arial"/>
              </w:rPr>
              <w:t xml:space="preserve"> </w:t>
            </w:r>
            <w:r w:rsidRPr="00A62DCE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306D5B" w:rsidRPr="00A62DCE" w:rsidRDefault="00306D5B" w:rsidP="00306D5B">
            <w:pPr>
              <w:jc w:val="center"/>
              <w:rPr>
                <w:rFonts w:ascii="Arial" w:hAnsi="Arial" w:cs="Arial"/>
                <w:b/>
              </w:rPr>
            </w:pPr>
            <w:r w:rsidRPr="00A62DCE">
              <w:rPr>
                <w:rFonts w:ascii="Arial" w:hAnsi="Arial" w:cs="Arial"/>
                <w:b/>
              </w:rPr>
              <w:t>UNOPS</w:t>
            </w:r>
          </w:p>
          <w:p w:rsidR="00306D5B" w:rsidRPr="0078563C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06D5B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26</w:t>
            </w:r>
          </w:p>
          <w:p w:rsidR="00306D5B" w:rsidRPr="0078563C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306D5B" w:rsidRPr="00082FBF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306D5B" w:rsidRPr="00082FBF" w:rsidRDefault="00306D5B" w:rsidP="00306D5B">
            <w:pPr>
              <w:jc w:val="both"/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</w:pPr>
            <w:r w:rsidRPr="00082FBF">
              <w:rPr>
                <w:rFonts w:ascii="Arial" w:hAnsi="Arial" w:cs="Arial"/>
                <w:color w:val="000000"/>
                <w:shd w:val="clear" w:color="auto" w:fill="F8F8F8"/>
                <w:lang w:val="en-US"/>
              </w:rPr>
              <w:t>16003</w:t>
            </w:r>
          </w:p>
        </w:tc>
        <w:tc>
          <w:tcPr>
            <w:tcW w:w="3472" w:type="pct"/>
            <w:gridSpan w:val="3"/>
            <w:shd w:val="clear" w:color="auto" w:fill="auto"/>
            <w:vAlign w:val="center"/>
          </w:tcPr>
          <w:p w:rsidR="00306D5B" w:rsidRPr="00E004FA" w:rsidRDefault="00306D5B" w:rsidP="00306D5B">
            <w:pPr>
              <w:jc w:val="both"/>
              <w:rPr>
                <w:rFonts w:ascii="Arial" w:hAnsi="Arial" w:cs="Arial"/>
              </w:rPr>
            </w:pPr>
            <w:r w:rsidRPr="00E004FA">
              <w:rPr>
                <w:rFonts w:ascii="Arial" w:hAnsi="Arial" w:cs="Arial"/>
              </w:rPr>
              <w:t xml:space="preserve">Se invita a proveedores calificados a presentar ofertas para la “Adquisición de </w:t>
            </w:r>
            <w:proofErr w:type="spellStart"/>
            <w:r w:rsidRPr="00E004FA">
              <w:rPr>
                <w:rFonts w:ascii="Arial" w:hAnsi="Arial" w:cs="Arial"/>
              </w:rPr>
              <w:t>Señalética</w:t>
            </w:r>
            <w:proofErr w:type="spellEnd"/>
            <w:r w:rsidRPr="00E004FA">
              <w:rPr>
                <w:rFonts w:ascii="Arial" w:hAnsi="Arial" w:cs="Arial"/>
              </w:rPr>
              <w:t xml:space="preserve">” de acuerdo al siguiente detalle: Lote 1 Carteles: ítem 1: Residuos, 240 unid; ítem 2: Baños, baño hombres, baño mujeres, baño discapacitado, 240 unid; ítem 3: Cuarentena, 60 unid; ítem 4: Matafuegos, 240 unid; ítem 5: kit </w:t>
            </w:r>
            <w:proofErr w:type="spellStart"/>
            <w:r w:rsidRPr="00E004FA">
              <w:rPr>
                <w:rFonts w:ascii="Arial" w:hAnsi="Arial" w:cs="Arial"/>
              </w:rPr>
              <w:t>antiderrame</w:t>
            </w:r>
            <w:proofErr w:type="spellEnd"/>
            <w:r w:rsidRPr="00E004FA">
              <w:rPr>
                <w:rFonts w:ascii="Arial" w:hAnsi="Arial" w:cs="Arial"/>
              </w:rPr>
              <w:t xml:space="preserve">, 60 unid; ítem 6: No aptos, 60 unid; ítem 7: Acceso restringido, 60 unid; ítem 8: Medicamentos, 60 unid; ítem 9: Insumos médicos, 60 unid; ítem 10: Alto costo, 60 unid; ítem 11: Cámara de frío, 60 unid; ítem 12: No pasar, 60 unid; ítem 13: Psicofármacos, 60 unid; ítem 14: Administración, 60 unid; ítem 15: Nicho hidrante, 60 unid; ítem 16: Zona de expedición, 60 unid; ítem 17: Depósito, 60 unid; ítem 18: Cartel en blanco, 240 unid; ítem 19: Salida, 60 unid; ítem 20: Espacio libre de humo, 60 unid; ítem 21: Zona de descarga, 60 unid; ítem 22: Consultorio, 4087 unid; ítem 23: Entrega de medicamentos, 1000 unid; ítem 24: Baños, baño hombres, baño mujeres, baño discapacitado, 4000 unid; ítem 25: Espacio libre de humo, 1000 unid; </w:t>
            </w:r>
            <w:r w:rsidRPr="00E004FA">
              <w:rPr>
                <w:rFonts w:ascii="Arial" w:hAnsi="Arial" w:cs="Arial"/>
              </w:rPr>
              <w:lastRenderedPageBreak/>
              <w:t xml:space="preserve">ítem 26: Matafuegos, 1000 unid; ítem 27: Salida, 1000 unid; ítem 28: Horario, 1000 unid; ítem 29: </w:t>
            </w:r>
            <w:proofErr w:type="spellStart"/>
            <w:r w:rsidRPr="00E004FA">
              <w:rPr>
                <w:rFonts w:ascii="Arial" w:hAnsi="Arial" w:cs="Arial"/>
              </w:rPr>
              <w:t>Vacunatorio</w:t>
            </w:r>
            <w:proofErr w:type="spellEnd"/>
            <w:r w:rsidRPr="00E004FA">
              <w:rPr>
                <w:rFonts w:ascii="Arial" w:hAnsi="Arial" w:cs="Arial"/>
              </w:rPr>
              <w:t>, 1000 unid; ítem 30: Enfermería, 1000 unid; ítem 31: No aptos, 1000 unid; Lote 2: Cadena plástica, 60 bolsas; Lote 3: Precintos de seguridad, 1000 bolsas; Lote 4: Bolígrafos, 50000 unid; Lote 5: Pastilleros, 200000 unid; Lote 6, ítem 1: Cintas de medición pediátricas 1, 1000unid; ítem 2: Cintas de medición pediátricas 2, 1000unid.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306D5B" w:rsidRDefault="00306D5B" w:rsidP="00306D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UNDP</w:t>
            </w:r>
          </w:p>
          <w:p w:rsidR="00306D5B" w:rsidRPr="00082FBF" w:rsidRDefault="00306D5B" w:rsidP="00306D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Argentina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06D5B" w:rsidRDefault="00306D5B" w:rsidP="00306D5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Junio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26</w:t>
            </w:r>
          </w:p>
          <w:p w:rsidR="00306D5B" w:rsidRPr="00082FBF" w:rsidRDefault="00306D5B" w:rsidP="00306D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2014</w:t>
            </w:r>
          </w:p>
        </w:tc>
      </w:tr>
      <w:tr w:rsidR="00306D5B" w:rsidRPr="001C39E1" w:rsidTr="00442C96">
        <w:trPr>
          <w:trHeight w:val="259"/>
        </w:trPr>
        <w:tc>
          <w:tcPr>
            <w:tcW w:w="395" w:type="pct"/>
            <w:shd w:val="clear" w:color="auto" w:fill="auto"/>
            <w:vAlign w:val="center"/>
          </w:tcPr>
          <w:p w:rsidR="00306D5B" w:rsidRPr="00AE7E47" w:rsidRDefault="00306D5B" w:rsidP="00306D5B">
            <w:pPr>
              <w:jc w:val="both"/>
              <w:rPr>
                <w:rFonts w:ascii="Arial" w:hAnsi="Arial" w:cs="Arial"/>
                <w:lang w:val="fr-FR"/>
              </w:rPr>
            </w:pPr>
            <w:r w:rsidRPr="0081459E">
              <w:rPr>
                <w:rFonts w:ascii="Arial" w:hAnsi="Arial" w:cs="Arial"/>
                <w:lang w:val="fr-FR"/>
              </w:rPr>
              <w:lastRenderedPageBreak/>
              <w:t>IAL/040/FUNDAMUSICAL/2014</w:t>
            </w:r>
          </w:p>
        </w:tc>
        <w:tc>
          <w:tcPr>
            <w:tcW w:w="3472" w:type="pct"/>
            <w:gridSpan w:val="3"/>
            <w:shd w:val="clear" w:color="auto" w:fill="auto"/>
            <w:vAlign w:val="center"/>
          </w:tcPr>
          <w:p w:rsidR="00306D5B" w:rsidRPr="00AE7E47" w:rsidRDefault="00306D5B" w:rsidP="00306D5B">
            <w:pPr>
              <w:jc w:val="both"/>
              <w:rPr>
                <w:rFonts w:ascii="Arial" w:hAnsi="Arial" w:cs="Arial"/>
              </w:rPr>
            </w:pPr>
            <w:r w:rsidRPr="0081459E">
              <w:rPr>
                <w:rFonts w:ascii="Arial" w:hAnsi="Arial" w:cs="Arial"/>
              </w:rPr>
              <w:t>Invitación a licitar para la adquisición de instrumentos musicales para el Programa de Formación Académico Musical Fase II a través del Programa de las Naciones Unidas para el Desarrollo (UNDP)</w:t>
            </w:r>
            <w:r>
              <w:rPr>
                <w:rFonts w:ascii="Arial" w:hAnsi="Arial" w:cs="Arial"/>
              </w:rPr>
              <w:t xml:space="preserve"> </w:t>
            </w:r>
            <w:r w:rsidRPr="0081459E">
              <w:rPr>
                <w:rFonts w:ascii="Arial" w:hAnsi="Arial" w:cs="Arial"/>
                <w:b/>
              </w:rPr>
              <w:t>(ITB)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306D5B" w:rsidRDefault="00306D5B" w:rsidP="0030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306D5B" w:rsidRPr="0081459E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Venezuela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06D5B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15</w:t>
            </w:r>
          </w:p>
          <w:p w:rsidR="00306D5B" w:rsidRDefault="00306D5B" w:rsidP="0030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</w:tbl>
    <w:p w:rsidR="008F6379" w:rsidRPr="001C39E1" w:rsidRDefault="008F6379" w:rsidP="00B548E7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09" w:rsidRDefault="005B4C09" w:rsidP="00842430">
      <w:r>
        <w:separator/>
      </w:r>
    </w:p>
  </w:endnote>
  <w:endnote w:type="continuationSeparator" w:id="1">
    <w:p w:rsidR="005B4C09" w:rsidRDefault="005B4C09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09" w:rsidRDefault="005B4C09" w:rsidP="00842430">
      <w:r>
        <w:separator/>
      </w:r>
    </w:p>
  </w:footnote>
  <w:footnote w:type="continuationSeparator" w:id="1">
    <w:p w:rsidR="005B4C09" w:rsidRDefault="005B4C09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09" w:rsidRDefault="005B4C09">
    <w:pPr>
      <w:pStyle w:val="Encabezado"/>
    </w:pPr>
  </w:p>
  <w:p w:rsidR="005B4C09" w:rsidRDefault="005B4C09"/>
  <w:p w:rsidR="005B4C09" w:rsidRDefault="005B4C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09" w:rsidRDefault="005B4C0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4B9E"/>
    <w:rsid w:val="00005AB4"/>
    <w:rsid w:val="00014302"/>
    <w:rsid w:val="0001562D"/>
    <w:rsid w:val="00023F02"/>
    <w:rsid w:val="000304F9"/>
    <w:rsid w:val="0003600D"/>
    <w:rsid w:val="00047A1C"/>
    <w:rsid w:val="00051AB0"/>
    <w:rsid w:val="00051E8F"/>
    <w:rsid w:val="00060394"/>
    <w:rsid w:val="000613BA"/>
    <w:rsid w:val="0006206F"/>
    <w:rsid w:val="00064220"/>
    <w:rsid w:val="00072457"/>
    <w:rsid w:val="00074355"/>
    <w:rsid w:val="000750EF"/>
    <w:rsid w:val="0007684C"/>
    <w:rsid w:val="0008270C"/>
    <w:rsid w:val="00082FBF"/>
    <w:rsid w:val="0008402A"/>
    <w:rsid w:val="00091B49"/>
    <w:rsid w:val="000939EA"/>
    <w:rsid w:val="00094DF5"/>
    <w:rsid w:val="00097758"/>
    <w:rsid w:val="000A00A5"/>
    <w:rsid w:val="000A222B"/>
    <w:rsid w:val="000A40A8"/>
    <w:rsid w:val="000A5149"/>
    <w:rsid w:val="000A70AD"/>
    <w:rsid w:val="000B16CE"/>
    <w:rsid w:val="000B1AEA"/>
    <w:rsid w:val="000B5722"/>
    <w:rsid w:val="000C1981"/>
    <w:rsid w:val="000C61B3"/>
    <w:rsid w:val="000D1772"/>
    <w:rsid w:val="000D6E73"/>
    <w:rsid w:val="000E216E"/>
    <w:rsid w:val="000F4398"/>
    <w:rsid w:val="000F5C26"/>
    <w:rsid w:val="000F6111"/>
    <w:rsid w:val="00100259"/>
    <w:rsid w:val="0010288B"/>
    <w:rsid w:val="001074CD"/>
    <w:rsid w:val="001100C2"/>
    <w:rsid w:val="001122DD"/>
    <w:rsid w:val="00112F39"/>
    <w:rsid w:val="001135D6"/>
    <w:rsid w:val="001173B7"/>
    <w:rsid w:val="00117E9C"/>
    <w:rsid w:val="00120D1B"/>
    <w:rsid w:val="00122C6E"/>
    <w:rsid w:val="00124340"/>
    <w:rsid w:val="00126806"/>
    <w:rsid w:val="00143EC3"/>
    <w:rsid w:val="00145ABC"/>
    <w:rsid w:val="0014714E"/>
    <w:rsid w:val="001502FB"/>
    <w:rsid w:val="001663E9"/>
    <w:rsid w:val="00173467"/>
    <w:rsid w:val="00176F99"/>
    <w:rsid w:val="00184CBB"/>
    <w:rsid w:val="001862DF"/>
    <w:rsid w:val="00186AF5"/>
    <w:rsid w:val="00186F8E"/>
    <w:rsid w:val="001909AD"/>
    <w:rsid w:val="00191E31"/>
    <w:rsid w:val="001A2C6D"/>
    <w:rsid w:val="001A36DD"/>
    <w:rsid w:val="001B3D37"/>
    <w:rsid w:val="001C39E1"/>
    <w:rsid w:val="001C6925"/>
    <w:rsid w:val="001C7131"/>
    <w:rsid w:val="001C764D"/>
    <w:rsid w:val="001D3C15"/>
    <w:rsid w:val="001E1610"/>
    <w:rsid w:val="001E4C6B"/>
    <w:rsid w:val="0020159C"/>
    <w:rsid w:val="002065B8"/>
    <w:rsid w:val="0021083E"/>
    <w:rsid w:val="0021256F"/>
    <w:rsid w:val="0021605A"/>
    <w:rsid w:val="00217193"/>
    <w:rsid w:val="0022155E"/>
    <w:rsid w:val="0023194D"/>
    <w:rsid w:val="00234109"/>
    <w:rsid w:val="00235463"/>
    <w:rsid w:val="00236A1E"/>
    <w:rsid w:val="00240DF3"/>
    <w:rsid w:val="00240EDA"/>
    <w:rsid w:val="0024498E"/>
    <w:rsid w:val="0024567D"/>
    <w:rsid w:val="00245C34"/>
    <w:rsid w:val="00247645"/>
    <w:rsid w:val="00256339"/>
    <w:rsid w:val="002572B1"/>
    <w:rsid w:val="0026243F"/>
    <w:rsid w:val="002624B0"/>
    <w:rsid w:val="00264E3F"/>
    <w:rsid w:val="00267F8D"/>
    <w:rsid w:val="00272C5E"/>
    <w:rsid w:val="00275302"/>
    <w:rsid w:val="00276149"/>
    <w:rsid w:val="00277E48"/>
    <w:rsid w:val="0028295A"/>
    <w:rsid w:val="00284D92"/>
    <w:rsid w:val="002875A9"/>
    <w:rsid w:val="00293650"/>
    <w:rsid w:val="002962E4"/>
    <w:rsid w:val="00297985"/>
    <w:rsid w:val="002B2ED3"/>
    <w:rsid w:val="002B4541"/>
    <w:rsid w:val="002C6714"/>
    <w:rsid w:val="002E5DD4"/>
    <w:rsid w:val="002E7B78"/>
    <w:rsid w:val="002F5292"/>
    <w:rsid w:val="002F6EE7"/>
    <w:rsid w:val="00300A49"/>
    <w:rsid w:val="003026FA"/>
    <w:rsid w:val="00306D5B"/>
    <w:rsid w:val="003070C1"/>
    <w:rsid w:val="00310926"/>
    <w:rsid w:val="00311B8B"/>
    <w:rsid w:val="00314D5F"/>
    <w:rsid w:val="0031554F"/>
    <w:rsid w:val="00331CAE"/>
    <w:rsid w:val="00341233"/>
    <w:rsid w:val="0034764D"/>
    <w:rsid w:val="00350C81"/>
    <w:rsid w:val="00354066"/>
    <w:rsid w:val="00373CA2"/>
    <w:rsid w:val="00381214"/>
    <w:rsid w:val="003867CF"/>
    <w:rsid w:val="00397B19"/>
    <w:rsid w:val="003A0C64"/>
    <w:rsid w:val="003A48E3"/>
    <w:rsid w:val="003B46D9"/>
    <w:rsid w:val="003C5EA5"/>
    <w:rsid w:val="003C5F9E"/>
    <w:rsid w:val="003C6F9B"/>
    <w:rsid w:val="003D194D"/>
    <w:rsid w:val="003D3312"/>
    <w:rsid w:val="003D4C56"/>
    <w:rsid w:val="003E5172"/>
    <w:rsid w:val="003E664B"/>
    <w:rsid w:val="003E6853"/>
    <w:rsid w:val="003F2A2A"/>
    <w:rsid w:val="003F301B"/>
    <w:rsid w:val="00407A59"/>
    <w:rsid w:val="00407BF4"/>
    <w:rsid w:val="00407D9F"/>
    <w:rsid w:val="00415872"/>
    <w:rsid w:val="00416804"/>
    <w:rsid w:val="00421866"/>
    <w:rsid w:val="004324DE"/>
    <w:rsid w:val="00434292"/>
    <w:rsid w:val="00435FA7"/>
    <w:rsid w:val="00436062"/>
    <w:rsid w:val="00442C96"/>
    <w:rsid w:val="00447057"/>
    <w:rsid w:val="00450541"/>
    <w:rsid w:val="00457072"/>
    <w:rsid w:val="00460DA9"/>
    <w:rsid w:val="004627E8"/>
    <w:rsid w:val="00463482"/>
    <w:rsid w:val="004733B5"/>
    <w:rsid w:val="00477158"/>
    <w:rsid w:val="00483130"/>
    <w:rsid w:val="004872AD"/>
    <w:rsid w:val="00496C3E"/>
    <w:rsid w:val="004A3A46"/>
    <w:rsid w:val="004A3A64"/>
    <w:rsid w:val="004A501E"/>
    <w:rsid w:val="004B37AE"/>
    <w:rsid w:val="004B453F"/>
    <w:rsid w:val="004B468A"/>
    <w:rsid w:val="004B6BA7"/>
    <w:rsid w:val="004D1ECF"/>
    <w:rsid w:val="004D5033"/>
    <w:rsid w:val="004E102D"/>
    <w:rsid w:val="004E1456"/>
    <w:rsid w:val="004F4688"/>
    <w:rsid w:val="00522D6E"/>
    <w:rsid w:val="00525ABB"/>
    <w:rsid w:val="00526198"/>
    <w:rsid w:val="00526C67"/>
    <w:rsid w:val="00533BFA"/>
    <w:rsid w:val="00534FBC"/>
    <w:rsid w:val="00535BC3"/>
    <w:rsid w:val="00537AA4"/>
    <w:rsid w:val="00541A12"/>
    <w:rsid w:val="00550676"/>
    <w:rsid w:val="00552132"/>
    <w:rsid w:val="00553FB0"/>
    <w:rsid w:val="005547E8"/>
    <w:rsid w:val="0055576B"/>
    <w:rsid w:val="00556A9F"/>
    <w:rsid w:val="00557FD9"/>
    <w:rsid w:val="00560707"/>
    <w:rsid w:val="00560E17"/>
    <w:rsid w:val="00565D8D"/>
    <w:rsid w:val="0056662B"/>
    <w:rsid w:val="005738DA"/>
    <w:rsid w:val="00574754"/>
    <w:rsid w:val="00581D67"/>
    <w:rsid w:val="00585A25"/>
    <w:rsid w:val="005922B0"/>
    <w:rsid w:val="005928E4"/>
    <w:rsid w:val="0059488F"/>
    <w:rsid w:val="00594CC6"/>
    <w:rsid w:val="005978C5"/>
    <w:rsid w:val="005A38CA"/>
    <w:rsid w:val="005A3BFA"/>
    <w:rsid w:val="005A516B"/>
    <w:rsid w:val="005B4C09"/>
    <w:rsid w:val="005C0A5E"/>
    <w:rsid w:val="005D16A0"/>
    <w:rsid w:val="005D5B60"/>
    <w:rsid w:val="005D5E07"/>
    <w:rsid w:val="005E255A"/>
    <w:rsid w:val="005E3339"/>
    <w:rsid w:val="005E3AB8"/>
    <w:rsid w:val="005F4322"/>
    <w:rsid w:val="005F4A0A"/>
    <w:rsid w:val="006010BF"/>
    <w:rsid w:val="00604024"/>
    <w:rsid w:val="00606AF5"/>
    <w:rsid w:val="00615CBA"/>
    <w:rsid w:val="00622239"/>
    <w:rsid w:val="00630B4A"/>
    <w:rsid w:val="00636A43"/>
    <w:rsid w:val="00636A4C"/>
    <w:rsid w:val="00657D8E"/>
    <w:rsid w:val="00663FF9"/>
    <w:rsid w:val="006664AE"/>
    <w:rsid w:val="006701EA"/>
    <w:rsid w:val="00670B47"/>
    <w:rsid w:val="006724B8"/>
    <w:rsid w:val="0067686B"/>
    <w:rsid w:val="00680136"/>
    <w:rsid w:val="00680D6D"/>
    <w:rsid w:val="00684B55"/>
    <w:rsid w:val="00687E68"/>
    <w:rsid w:val="006905EE"/>
    <w:rsid w:val="00690C04"/>
    <w:rsid w:val="006956F9"/>
    <w:rsid w:val="00696C5B"/>
    <w:rsid w:val="006A1DC1"/>
    <w:rsid w:val="006A1E36"/>
    <w:rsid w:val="006A32FE"/>
    <w:rsid w:val="006C1E26"/>
    <w:rsid w:val="006C7D7F"/>
    <w:rsid w:val="006D06BA"/>
    <w:rsid w:val="006D39AC"/>
    <w:rsid w:val="006D3C48"/>
    <w:rsid w:val="006D6501"/>
    <w:rsid w:val="006E3401"/>
    <w:rsid w:val="006F224E"/>
    <w:rsid w:val="006F2511"/>
    <w:rsid w:val="006F2D58"/>
    <w:rsid w:val="006F6ABE"/>
    <w:rsid w:val="006F6D42"/>
    <w:rsid w:val="006F7188"/>
    <w:rsid w:val="0070029B"/>
    <w:rsid w:val="00704C26"/>
    <w:rsid w:val="007053C3"/>
    <w:rsid w:val="00705D1D"/>
    <w:rsid w:val="00711138"/>
    <w:rsid w:val="00714F9A"/>
    <w:rsid w:val="007161AC"/>
    <w:rsid w:val="00721AB6"/>
    <w:rsid w:val="007336DE"/>
    <w:rsid w:val="007345B5"/>
    <w:rsid w:val="00735474"/>
    <w:rsid w:val="00741F7F"/>
    <w:rsid w:val="00745DAC"/>
    <w:rsid w:val="00751416"/>
    <w:rsid w:val="00751DB5"/>
    <w:rsid w:val="007539EC"/>
    <w:rsid w:val="00754F33"/>
    <w:rsid w:val="0076348A"/>
    <w:rsid w:val="007746F3"/>
    <w:rsid w:val="00777913"/>
    <w:rsid w:val="00777FE9"/>
    <w:rsid w:val="00784833"/>
    <w:rsid w:val="0078563C"/>
    <w:rsid w:val="00785ABF"/>
    <w:rsid w:val="00787C83"/>
    <w:rsid w:val="007A061B"/>
    <w:rsid w:val="007A7AF1"/>
    <w:rsid w:val="007B0A11"/>
    <w:rsid w:val="007B13C6"/>
    <w:rsid w:val="007C08C1"/>
    <w:rsid w:val="007D2591"/>
    <w:rsid w:val="007E0164"/>
    <w:rsid w:val="007E0BB7"/>
    <w:rsid w:val="007E2CB3"/>
    <w:rsid w:val="007E4C13"/>
    <w:rsid w:val="007F0193"/>
    <w:rsid w:val="007F16BB"/>
    <w:rsid w:val="007F3C84"/>
    <w:rsid w:val="007F60F2"/>
    <w:rsid w:val="007F7601"/>
    <w:rsid w:val="007F7C30"/>
    <w:rsid w:val="0080059B"/>
    <w:rsid w:val="00803333"/>
    <w:rsid w:val="0081459E"/>
    <w:rsid w:val="00822449"/>
    <w:rsid w:val="00832F3A"/>
    <w:rsid w:val="008357CB"/>
    <w:rsid w:val="00835908"/>
    <w:rsid w:val="00840A02"/>
    <w:rsid w:val="00841AE1"/>
    <w:rsid w:val="00842430"/>
    <w:rsid w:val="008449EE"/>
    <w:rsid w:val="008476CF"/>
    <w:rsid w:val="00847922"/>
    <w:rsid w:val="0085539D"/>
    <w:rsid w:val="00861BE4"/>
    <w:rsid w:val="00870C88"/>
    <w:rsid w:val="00871C8E"/>
    <w:rsid w:val="008726EA"/>
    <w:rsid w:val="0088037B"/>
    <w:rsid w:val="00884BC5"/>
    <w:rsid w:val="00890522"/>
    <w:rsid w:val="00895507"/>
    <w:rsid w:val="00897F3E"/>
    <w:rsid w:val="008A5063"/>
    <w:rsid w:val="008A6698"/>
    <w:rsid w:val="008C03C6"/>
    <w:rsid w:val="008E025D"/>
    <w:rsid w:val="008E2990"/>
    <w:rsid w:val="008E681D"/>
    <w:rsid w:val="008E71A2"/>
    <w:rsid w:val="008E7A18"/>
    <w:rsid w:val="008F025E"/>
    <w:rsid w:val="008F1903"/>
    <w:rsid w:val="008F20B2"/>
    <w:rsid w:val="008F436A"/>
    <w:rsid w:val="008F4B50"/>
    <w:rsid w:val="008F54DA"/>
    <w:rsid w:val="008F6379"/>
    <w:rsid w:val="00901754"/>
    <w:rsid w:val="00912A89"/>
    <w:rsid w:val="009146CD"/>
    <w:rsid w:val="00916928"/>
    <w:rsid w:val="00920FA8"/>
    <w:rsid w:val="00932633"/>
    <w:rsid w:val="00934CF6"/>
    <w:rsid w:val="009379E4"/>
    <w:rsid w:val="0094645A"/>
    <w:rsid w:val="00952D58"/>
    <w:rsid w:val="00957520"/>
    <w:rsid w:val="009609B5"/>
    <w:rsid w:val="0096119E"/>
    <w:rsid w:val="009625E5"/>
    <w:rsid w:val="00964371"/>
    <w:rsid w:val="009735DA"/>
    <w:rsid w:val="009835DC"/>
    <w:rsid w:val="009864BE"/>
    <w:rsid w:val="009871EF"/>
    <w:rsid w:val="009B31CE"/>
    <w:rsid w:val="009B4F03"/>
    <w:rsid w:val="009C1C95"/>
    <w:rsid w:val="009D6DA1"/>
    <w:rsid w:val="009D73C1"/>
    <w:rsid w:val="009E2916"/>
    <w:rsid w:val="009F4103"/>
    <w:rsid w:val="009F49F6"/>
    <w:rsid w:val="00A00357"/>
    <w:rsid w:val="00A03BA5"/>
    <w:rsid w:val="00A10A9A"/>
    <w:rsid w:val="00A20147"/>
    <w:rsid w:val="00A3567B"/>
    <w:rsid w:val="00A410FA"/>
    <w:rsid w:val="00A525FD"/>
    <w:rsid w:val="00A62DCE"/>
    <w:rsid w:val="00A6535F"/>
    <w:rsid w:val="00A76AD8"/>
    <w:rsid w:val="00A82CD5"/>
    <w:rsid w:val="00A860B8"/>
    <w:rsid w:val="00A9299D"/>
    <w:rsid w:val="00A97EE6"/>
    <w:rsid w:val="00AB4007"/>
    <w:rsid w:val="00AB63C0"/>
    <w:rsid w:val="00AC32B4"/>
    <w:rsid w:val="00AC48E2"/>
    <w:rsid w:val="00AC4DE7"/>
    <w:rsid w:val="00AC72FB"/>
    <w:rsid w:val="00AD066B"/>
    <w:rsid w:val="00AE7DBC"/>
    <w:rsid w:val="00AE7E47"/>
    <w:rsid w:val="00AF0FB6"/>
    <w:rsid w:val="00B005D9"/>
    <w:rsid w:val="00B00D8A"/>
    <w:rsid w:val="00B0131E"/>
    <w:rsid w:val="00B01867"/>
    <w:rsid w:val="00B1452E"/>
    <w:rsid w:val="00B175C2"/>
    <w:rsid w:val="00B409D6"/>
    <w:rsid w:val="00B51E76"/>
    <w:rsid w:val="00B52C50"/>
    <w:rsid w:val="00B548E7"/>
    <w:rsid w:val="00B63A21"/>
    <w:rsid w:val="00B6527F"/>
    <w:rsid w:val="00B655F1"/>
    <w:rsid w:val="00B66085"/>
    <w:rsid w:val="00B803FD"/>
    <w:rsid w:val="00B87136"/>
    <w:rsid w:val="00B965E0"/>
    <w:rsid w:val="00BA1AE8"/>
    <w:rsid w:val="00BC0BFA"/>
    <w:rsid w:val="00BC110A"/>
    <w:rsid w:val="00BC3DB8"/>
    <w:rsid w:val="00BD009A"/>
    <w:rsid w:val="00BD70E6"/>
    <w:rsid w:val="00BF0351"/>
    <w:rsid w:val="00BF3DD2"/>
    <w:rsid w:val="00BF5D78"/>
    <w:rsid w:val="00BF79C1"/>
    <w:rsid w:val="00C1398E"/>
    <w:rsid w:val="00C168A7"/>
    <w:rsid w:val="00C1754C"/>
    <w:rsid w:val="00C22CC8"/>
    <w:rsid w:val="00C262B5"/>
    <w:rsid w:val="00C3467E"/>
    <w:rsid w:val="00C36CA3"/>
    <w:rsid w:val="00C44518"/>
    <w:rsid w:val="00C50D49"/>
    <w:rsid w:val="00C627A8"/>
    <w:rsid w:val="00C63703"/>
    <w:rsid w:val="00C67F2E"/>
    <w:rsid w:val="00C81160"/>
    <w:rsid w:val="00C83638"/>
    <w:rsid w:val="00C872A6"/>
    <w:rsid w:val="00C93E48"/>
    <w:rsid w:val="00C95ADF"/>
    <w:rsid w:val="00C96BD7"/>
    <w:rsid w:val="00CA1F13"/>
    <w:rsid w:val="00CA6EDD"/>
    <w:rsid w:val="00CB026E"/>
    <w:rsid w:val="00CB1BEF"/>
    <w:rsid w:val="00CB24F5"/>
    <w:rsid w:val="00CB26EE"/>
    <w:rsid w:val="00CB5414"/>
    <w:rsid w:val="00CB5492"/>
    <w:rsid w:val="00CC7A71"/>
    <w:rsid w:val="00CD10EA"/>
    <w:rsid w:val="00CE1DA5"/>
    <w:rsid w:val="00CF420E"/>
    <w:rsid w:val="00D04375"/>
    <w:rsid w:val="00D06DEF"/>
    <w:rsid w:val="00D11EE8"/>
    <w:rsid w:val="00D21140"/>
    <w:rsid w:val="00D22152"/>
    <w:rsid w:val="00D30D66"/>
    <w:rsid w:val="00D45150"/>
    <w:rsid w:val="00D47885"/>
    <w:rsid w:val="00D66D46"/>
    <w:rsid w:val="00D6777B"/>
    <w:rsid w:val="00D71B45"/>
    <w:rsid w:val="00D71EF2"/>
    <w:rsid w:val="00D748F7"/>
    <w:rsid w:val="00D75C35"/>
    <w:rsid w:val="00D768B8"/>
    <w:rsid w:val="00D80220"/>
    <w:rsid w:val="00D80F23"/>
    <w:rsid w:val="00D8174D"/>
    <w:rsid w:val="00D82219"/>
    <w:rsid w:val="00D8486A"/>
    <w:rsid w:val="00D86A46"/>
    <w:rsid w:val="00D86E99"/>
    <w:rsid w:val="00D91A01"/>
    <w:rsid w:val="00D94224"/>
    <w:rsid w:val="00D9766E"/>
    <w:rsid w:val="00DA325C"/>
    <w:rsid w:val="00DB2D1F"/>
    <w:rsid w:val="00DC003E"/>
    <w:rsid w:val="00DC3016"/>
    <w:rsid w:val="00DC346E"/>
    <w:rsid w:val="00DC3FC4"/>
    <w:rsid w:val="00DC7CF5"/>
    <w:rsid w:val="00DD051F"/>
    <w:rsid w:val="00DD2670"/>
    <w:rsid w:val="00DD436F"/>
    <w:rsid w:val="00DD751E"/>
    <w:rsid w:val="00DE0639"/>
    <w:rsid w:val="00DE7E94"/>
    <w:rsid w:val="00DF4B9E"/>
    <w:rsid w:val="00DF5B8B"/>
    <w:rsid w:val="00DF6DDF"/>
    <w:rsid w:val="00DF7DC5"/>
    <w:rsid w:val="00E004FA"/>
    <w:rsid w:val="00E0320D"/>
    <w:rsid w:val="00E10CD2"/>
    <w:rsid w:val="00E10D3C"/>
    <w:rsid w:val="00E220A1"/>
    <w:rsid w:val="00E22810"/>
    <w:rsid w:val="00E23D1E"/>
    <w:rsid w:val="00E2590D"/>
    <w:rsid w:val="00E27923"/>
    <w:rsid w:val="00E315E5"/>
    <w:rsid w:val="00E324FD"/>
    <w:rsid w:val="00E362D4"/>
    <w:rsid w:val="00E457E0"/>
    <w:rsid w:val="00E4728C"/>
    <w:rsid w:val="00E532FF"/>
    <w:rsid w:val="00E56269"/>
    <w:rsid w:val="00E62E6E"/>
    <w:rsid w:val="00EA00D9"/>
    <w:rsid w:val="00EA080F"/>
    <w:rsid w:val="00EA0D26"/>
    <w:rsid w:val="00EA1E7B"/>
    <w:rsid w:val="00EA4559"/>
    <w:rsid w:val="00EA7345"/>
    <w:rsid w:val="00EA7AA4"/>
    <w:rsid w:val="00EA7EB6"/>
    <w:rsid w:val="00EB10CF"/>
    <w:rsid w:val="00EB5C30"/>
    <w:rsid w:val="00EC0A73"/>
    <w:rsid w:val="00ED244A"/>
    <w:rsid w:val="00ED656B"/>
    <w:rsid w:val="00ED69F3"/>
    <w:rsid w:val="00ED795B"/>
    <w:rsid w:val="00EF3BCD"/>
    <w:rsid w:val="00EF531D"/>
    <w:rsid w:val="00EF6508"/>
    <w:rsid w:val="00F04C15"/>
    <w:rsid w:val="00F0637B"/>
    <w:rsid w:val="00F10B8F"/>
    <w:rsid w:val="00F128E7"/>
    <w:rsid w:val="00F1298A"/>
    <w:rsid w:val="00F22BD1"/>
    <w:rsid w:val="00F2335C"/>
    <w:rsid w:val="00F23E16"/>
    <w:rsid w:val="00F276E7"/>
    <w:rsid w:val="00F27CBF"/>
    <w:rsid w:val="00F30B48"/>
    <w:rsid w:val="00F32982"/>
    <w:rsid w:val="00F43EE8"/>
    <w:rsid w:val="00F4421D"/>
    <w:rsid w:val="00F53B88"/>
    <w:rsid w:val="00F56852"/>
    <w:rsid w:val="00F62052"/>
    <w:rsid w:val="00F6444D"/>
    <w:rsid w:val="00F76D52"/>
    <w:rsid w:val="00F8304B"/>
    <w:rsid w:val="00F83E71"/>
    <w:rsid w:val="00F93142"/>
    <w:rsid w:val="00FB3DE0"/>
    <w:rsid w:val="00FB5659"/>
    <w:rsid w:val="00FB5E4B"/>
    <w:rsid w:val="00FC17C0"/>
    <w:rsid w:val="00FC43DD"/>
    <w:rsid w:val="00FD6B37"/>
    <w:rsid w:val="00FE0CF1"/>
    <w:rsid w:val="00FE154B"/>
    <w:rsid w:val="00FE2078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F660-10F6-47CA-9101-295FC4B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pasante</cp:lastModifiedBy>
  <cp:revision>6</cp:revision>
  <dcterms:created xsi:type="dcterms:W3CDTF">2014-07-13T15:05:00Z</dcterms:created>
  <dcterms:modified xsi:type="dcterms:W3CDTF">2014-07-17T16:14:00Z</dcterms:modified>
</cp:coreProperties>
</file>